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2"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БДОУ г. Омска «Детский сад № 342 комбинированного вида» </w:t>
      </w:r>
      <w:r/>
    </w:p>
    <w:p>
      <w:pPr>
        <w:jc w:val="center"/>
      </w:pPr>
      <w:r>
        <w:rPr>
          <w:sz w:val="28"/>
          <w:szCs w:val="28"/>
          <w:highlight w:val="none"/>
        </w:rPr>
        <w:t xml:space="preserve">Комплектование на 2024-2025 учебный год</w:t>
      </w:r>
      <w:r>
        <w:rPr>
          <w:sz w:val="28"/>
          <w:szCs w:val="28"/>
          <w:highlight w:val="none"/>
        </w:rPr>
      </w:r>
    </w:p>
    <w:p>
      <w:pPr>
        <w:pStyle w:val="812"/>
      </w:pPr>
      <w:r/>
      <w:r/>
    </w:p>
    <w:tbl>
      <w:tblPr>
        <w:tblW w:w="157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229"/>
        <w:gridCol w:w="2322"/>
        <w:gridCol w:w="1440"/>
        <w:gridCol w:w="1920"/>
        <w:gridCol w:w="2160"/>
        <w:gridCol w:w="1417"/>
        <w:gridCol w:w="1516"/>
        <w:gridCol w:w="170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9" w:type="dxa"/>
            <w:vAlign w:val="center"/>
            <w:textDirection w:val="lrTb"/>
            <w:noWrap w:val="false"/>
          </w:tcPr>
          <w:p>
            <w:pPr>
              <w:pStyle w:val="812"/>
              <w:jc w:val="center"/>
            </w:pPr>
            <w:r>
              <w:t xml:space="preserve">Возрастная группа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2" w:type="dxa"/>
            <w:vAlign w:val="center"/>
            <w:textDirection w:val="lrTb"/>
            <w:noWrap w:val="false"/>
          </w:tcPr>
          <w:p>
            <w:pPr>
              <w:pStyle w:val="812"/>
              <w:jc w:val="center"/>
            </w:pPr>
            <w:r>
              <w:t xml:space="preserve">Направленность работы группы (общеразвивающая, комбинированная, компенсирующая)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center"/>
            <w:textDirection w:val="lrTb"/>
            <w:noWrap w:val="false"/>
          </w:tcPr>
          <w:p>
            <w:pPr>
              <w:pStyle w:val="812"/>
              <w:jc w:val="center"/>
            </w:pPr>
            <w:r>
              <w:t xml:space="preserve">Режим работы группы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12"/>
              <w:jc w:val="center"/>
            </w:pPr>
            <w:r>
              <w:t xml:space="preserve">Время работы группы</w:t>
            </w:r>
            <w:r/>
          </w:p>
          <w:p>
            <w:pPr>
              <w:pStyle w:val="812"/>
              <w:jc w:val="center"/>
            </w:pPr>
            <w:r>
              <w:t xml:space="preserve">(например: с 7.45 до 18.45)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Align w:val="center"/>
            <w:textDirection w:val="lrTb"/>
            <w:noWrap w:val="false"/>
          </w:tcPr>
          <w:p>
            <w:pPr>
              <w:pStyle w:val="812"/>
              <w:jc w:val="center"/>
            </w:pPr>
            <w:r>
              <w:t xml:space="preserve">Плановое количество мест</w:t>
            </w:r>
            <w:r/>
          </w:p>
          <w:p>
            <w:pPr>
              <w:pStyle w:val="812"/>
              <w:jc w:val="center"/>
            </w:pPr>
            <w:r>
              <w:t xml:space="preserve">(</w:t>
            </w:r>
            <w:r>
              <w:rPr>
                <w:sz w:val="20"/>
                <w:szCs w:val="20"/>
              </w:rPr>
              <w:t xml:space="preserve">В соответствии с площадью игровой)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12"/>
              <w:jc w:val="center"/>
            </w:pPr>
            <w:r>
              <w:t xml:space="preserve">Площадь игровых комнат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top"/>
            <w:textDirection w:val="lrTb"/>
            <w:noWrap w:val="false"/>
          </w:tcPr>
          <w:p>
            <w:pPr>
              <w:pStyle w:val="812"/>
              <w:jc w:val="center"/>
            </w:pPr>
            <w:r>
              <w:t xml:space="preserve">Списочный состав на 01.09.2024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2"/>
              <w:jc w:val="center"/>
            </w:pPr>
            <w:r>
              <w:t xml:space="preserve">Кол-во выпускников в 2025 году</w:t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71" w:type="dxa"/>
            <w:vAlign w:val="top"/>
            <w:textDirection w:val="lrTb"/>
            <w:noWrap w:val="false"/>
          </w:tcPr>
          <w:p>
            <w:pPr>
              <w:pStyle w:val="812"/>
            </w:pPr>
            <w:r>
              <w:t xml:space="preserve">Группы раннего возраста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12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top"/>
            <w:textDirection w:val="lrTb"/>
            <w:noWrap w:val="false"/>
          </w:tcPr>
          <w:p>
            <w:pPr>
              <w:pStyle w:val="812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2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9" w:type="dxa"/>
            <w:vAlign w:val="top"/>
            <w:vMerge w:val="restart"/>
            <w:textDirection w:val="lrTb"/>
            <w:noWrap w:val="false"/>
          </w:tcPr>
          <w:p>
            <w:pPr>
              <w:pStyle w:val="812"/>
            </w:pPr>
            <w:r>
              <w:t xml:space="preserve">1-ая младшая группа №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2" w:type="dxa"/>
            <w:vAlign w:val="top"/>
            <w:vMerge w:val="restart"/>
            <w:textDirection w:val="lrTb"/>
            <w:noWrap w:val="false"/>
          </w:tcPr>
          <w:p>
            <w:pPr>
              <w:pStyle w:val="812"/>
            </w:pPr>
            <w:r>
              <w:t xml:space="preserve">общеразвивающая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vMerge w:val="restart"/>
            <w:textDirection w:val="lrTb"/>
            <w:noWrap w:val="false"/>
          </w:tcPr>
          <w:p>
            <w:pPr>
              <w:pStyle w:val="812"/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top"/>
            <w:vMerge w:val="restart"/>
            <w:textDirection w:val="lrTb"/>
            <w:noWrap w:val="false"/>
          </w:tcPr>
          <w:p>
            <w:pPr>
              <w:pStyle w:val="812"/>
              <w:jc w:val="center"/>
            </w:pPr>
            <w:r>
              <w:t xml:space="preserve">с 7.00 до 19.00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Align w:val="top"/>
            <w:vMerge w:val="restart"/>
            <w:textDirection w:val="lrTb"/>
            <w:noWrap w:val="false"/>
          </w:tcPr>
          <w:p>
            <w:pPr>
              <w:pStyle w:val="812"/>
              <w:jc w:val="center"/>
            </w:pPr>
            <w: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12"/>
              <w:jc w:val="center"/>
            </w:pPr>
            <w:r>
              <w:t xml:space="preserve">45,5 кв.м.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>
              <w:rPr>
                <w:lang w:val="en-US"/>
              </w:rPr>
              <w:t xml:space="preserve">7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71" w:type="dxa"/>
            <w:vAlign w:val="top"/>
            <w:textDirection w:val="lrTb"/>
            <w:noWrap w:val="false"/>
          </w:tcPr>
          <w:p>
            <w:pPr>
              <w:pStyle w:val="812"/>
            </w:pPr>
            <w:r>
              <w:t xml:space="preserve">Группы дошкольного возраста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12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top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9" w:type="dxa"/>
            <w:vAlign w:val="top"/>
            <w:vMerge w:val="restart"/>
            <w:textDirection w:val="lrTb"/>
            <w:noWrap w:val="false"/>
          </w:tcPr>
          <w:p>
            <w:pPr>
              <w:pStyle w:val="812"/>
            </w:pPr>
            <w:r>
              <w:t xml:space="preserve">2-ая младшая группа </w:t>
            </w:r>
            <w:r/>
          </w:p>
          <w:p>
            <w:r>
              <w:t xml:space="preserve">№ 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2" w:type="dxa"/>
            <w:vAlign w:val="top"/>
            <w:vMerge w:val="restart"/>
            <w:textDirection w:val="lrTb"/>
            <w:noWrap w:val="false"/>
          </w:tcPr>
          <w:p>
            <w:pPr>
              <w:pStyle w:val="812"/>
            </w:pPr>
            <w:r>
              <w:t xml:space="preserve">общеразвивающая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vMerge w:val="restart"/>
            <w:textDirection w:val="lrTb"/>
            <w:noWrap w:val="false"/>
          </w:tcPr>
          <w:p>
            <w:pPr>
              <w:pStyle w:val="812"/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top"/>
            <w:vMerge w:val="restart"/>
            <w:textDirection w:val="lrTb"/>
            <w:noWrap w:val="false"/>
          </w:tcPr>
          <w:p>
            <w:pPr>
              <w:pStyle w:val="812"/>
              <w:jc w:val="center"/>
            </w:pPr>
            <w:r>
              <w:t xml:space="preserve">с 7.00 до 19.00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Align w:val="top"/>
            <w:vMerge w:val="restart"/>
            <w:textDirection w:val="lrTb"/>
            <w:noWrap w:val="false"/>
          </w:tcPr>
          <w:p>
            <w:pPr>
              <w:pStyle w:val="812"/>
              <w:jc w:val="center"/>
            </w:pPr>
            <w:r>
              <w:t xml:space="preserve">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12"/>
              <w:ind w:right="-108"/>
              <w:jc w:val="center"/>
            </w:pPr>
            <w:r>
              <w:t xml:space="preserve">72,6 кв.м.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9" w:type="dxa"/>
            <w:vAlign w:val="top"/>
            <w:vMerge w:val="restart"/>
            <w:textDirection w:val="lrTb"/>
            <w:noWrap w:val="false"/>
          </w:tcPr>
          <w:p>
            <w:pPr>
              <w:pStyle w:val="812"/>
            </w:pPr>
            <w:r>
              <w:t xml:space="preserve">2-ая младшая группа </w:t>
            </w:r>
            <w:r/>
          </w:p>
          <w:p>
            <w:r>
              <w:t xml:space="preserve">№ 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2" w:type="dxa"/>
            <w:vAlign w:val="top"/>
            <w:vMerge w:val="restart"/>
            <w:textDirection w:val="lrTb"/>
            <w:noWrap w:val="false"/>
          </w:tcPr>
          <w:p>
            <w:pPr>
              <w:pStyle w:val="812"/>
            </w:pPr>
            <w:r>
              <w:t xml:space="preserve">общеразвивающая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vMerge w:val="restart"/>
            <w:textDirection w:val="lrTb"/>
            <w:noWrap w:val="false"/>
          </w:tcPr>
          <w:p>
            <w:pPr>
              <w:pStyle w:val="812"/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top"/>
            <w:vMerge w:val="restart"/>
            <w:textDirection w:val="lrTb"/>
            <w:noWrap w:val="false"/>
          </w:tcPr>
          <w:p>
            <w:pPr>
              <w:pStyle w:val="812"/>
              <w:jc w:val="center"/>
            </w:pPr>
            <w:r>
              <w:t xml:space="preserve">с 7.00 до 19.00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Align w:val="top"/>
            <w:vMerge w:val="restart"/>
            <w:textDirection w:val="lrTb"/>
            <w:noWrap w:val="false"/>
          </w:tcPr>
          <w:p>
            <w:pPr>
              <w:pStyle w:val="812"/>
              <w:jc w:val="center"/>
            </w:pPr>
            <w: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12"/>
              <w:jc w:val="center"/>
            </w:pPr>
            <w:r>
              <w:t xml:space="preserve">43,6 кв.м.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9" w:type="dxa"/>
            <w:vAlign w:val="top"/>
            <w:vMerge w:val="restart"/>
            <w:textDirection w:val="lrTb"/>
            <w:noWrap w:val="false"/>
          </w:tcPr>
          <w:p>
            <w:pPr>
              <w:pStyle w:val="812"/>
            </w:pPr>
            <w:r>
              <w:t xml:space="preserve">средняя группа №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2" w:type="dxa"/>
            <w:vAlign w:val="top"/>
            <w:vMerge w:val="restart"/>
            <w:textDirection w:val="lrTb"/>
            <w:noWrap w:val="false"/>
          </w:tcPr>
          <w:p>
            <w:pPr>
              <w:pStyle w:val="812"/>
            </w:pPr>
            <w:r>
              <w:t xml:space="preserve">общеразвивающая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vMerge w:val="restart"/>
            <w:textDirection w:val="lrTb"/>
            <w:noWrap w:val="false"/>
          </w:tcPr>
          <w:p>
            <w:pPr>
              <w:pStyle w:val="812"/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top"/>
            <w:vMerge w:val="restart"/>
            <w:textDirection w:val="lrTb"/>
            <w:noWrap w:val="false"/>
          </w:tcPr>
          <w:p>
            <w:pPr>
              <w:pStyle w:val="812"/>
              <w:jc w:val="center"/>
            </w:pPr>
            <w:r>
              <w:t xml:space="preserve">с 7.00 до 19.00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Align w:val="top"/>
            <w:vMerge w:val="restart"/>
            <w:textDirection w:val="lrTb"/>
            <w:noWrap w:val="false"/>
          </w:tcPr>
          <w:p>
            <w:pPr>
              <w:pStyle w:val="812"/>
              <w:jc w:val="center"/>
            </w:pPr>
            <w: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12"/>
              <w:jc w:val="center"/>
            </w:pPr>
            <w:r>
              <w:t xml:space="preserve">48,1 кв.м.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9" w:type="dxa"/>
            <w:vAlign w:val="top"/>
            <w:vMerge w:val="restart"/>
            <w:textDirection w:val="lrTb"/>
            <w:noWrap w:val="false"/>
          </w:tcPr>
          <w:p>
            <w:pPr>
              <w:pStyle w:val="812"/>
            </w:pPr>
            <w:r>
              <w:t xml:space="preserve">средняя группа № 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2" w:type="dxa"/>
            <w:vAlign w:val="top"/>
            <w:vMerge w:val="restart"/>
            <w:textDirection w:val="lrTb"/>
            <w:noWrap w:val="false"/>
          </w:tcPr>
          <w:p>
            <w:pPr>
              <w:pStyle w:val="812"/>
            </w:pPr>
            <w:r>
              <w:t xml:space="preserve">общеразвивающая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vMerge w:val="restart"/>
            <w:textDirection w:val="lrTb"/>
            <w:noWrap w:val="false"/>
          </w:tcPr>
          <w:p>
            <w:pPr>
              <w:pStyle w:val="812"/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top"/>
            <w:vMerge w:val="restart"/>
            <w:textDirection w:val="lrTb"/>
            <w:noWrap w:val="false"/>
          </w:tcPr>
          <w:p>
            <w:pPr>
              <w:pStyle w:val="812"/>
              <w:jc w:val="center"/>
            </w:pPr>
            <w:r>
              <w:t xml:space="preserve">с 7.00 до 19.00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Align w:val="top"/>
            <w:vMerge w:val="restart"/>
            <w:textDirection w:val="lrTb"/>
            <w:noWrap w:val="false"/>
          </w:tcPr>
          <w:p>
            <w:pPr>
              <w:pStyle w:val="812"/>
              <w:jc w:val="center"/>
            </w:pPr>
            <w:r>
              <w:t xml:space="preserve">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12"/>
              <w:jc w:val="center"/>
            </w:pPr>
            <w:r>
              <w:t xml:space="preserve">52,8 кв.м.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9" w:type="dxa"/>
            <w:vAlign w:val="top"/>
            <w:textDirection w:val="lrTb"/>
            <w:noWrap w:val="false"/>
          </w:tcPr>
          <w:p>
            <w:pPr>
              <w:pStyle w:val="812"/>
            </w:pPr>
            <w:r>
              <w:t xml:space="preserve">старшая группа  №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2" w:type="dxa"/>
            <w:vAlign w:val="top"/>
            <w:textDirection w:val="lrTb"/>
            <w:noWrap w:val="false"/>
          </w:tcPr>
          <w:p>
            <w:pPr>
              <w:pStyle w:val="812"/>
            </w:pPr>
            <w:r>
              <w:t xml:space="preserve">общеразвивающая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12"/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top"/>
            <w:textDirection w:val="lrTb"/>
            <w:noWrap w:val="false"/>
          </w:tcPr>
          <w:p>
            <w:pPr>
              <w:pStyle w:val="812"/>
              <w:jc w:val="center"/>
            </w:pPr>
            <w:r>
              <w:t xml:space="preserve">с 7.00 до 19.00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Align w:val="top"/>
            <w:textDirection w:val="lrTb"/>
            <w:noWrap w:val="false"/>
          </w:tcPr>
          <w:p>
            <w:pPr>
              <w:pStyle w:val="812"/>
              <w:jc w:val="center"/>
            </w:pPr>
            <w: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12"/>
              <w:jc w:val="center"/>
            </w:pPr>
            <w:r>
              <w:t xml:space="preserve">48,9 кв.м.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9" w:type="dxa"/>
            <w:vAlign w:val="top"/>
            <w:textDirection w:val="lrTb"/>
            <w:noWrap w:val="false"/>
          </w:tcPr>
          <w:p>
            <w:pPr>
              <w:pStyle w:val="812"/>
            </w:pPr>
            <w:r>
              <w:t xml:space="preserve">старшая группа  № 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2" w:type="dxa"/>
            <w:vAlign w:val="top"/>
            <w:textDirection w:val="lrTb"/>
            <w:noWrap w:val="false"/>
          </w:tcPr>
          <w:p>
            <w:pPr>
              <w:pStyle w:val="812"/>
            </w:pPr>
            <w:r>
              <w:t xml:space="preserve">общеразвивающая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12"/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top"/>
            <w:textDirection w:val="lrTb"/>
            <w:noWrap w:val="false"/>
          </w:tcPr>
          <w:p>
            <w:pPr>
              <w:pStyle w:val="812"/>
              <w:jc w:val="center"/>
            </w:pPr>
            <w:r>
              <w:t xml:space="preserve">с 7.00 до 19.00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Align w:val="top"/>
            <w:textDirection w:val="lrTb"/>
            <w:noWrap w:val="false"/>
          </w:tcPr>
          <w:p>
            <w:pPr>
              <w:pStyle w:val="812"/>
              <w:jc w:val="center"/>
            </w:pPr>
            <w: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12"/>
              <w:jc w:val="center"/>
            </w:pPr>
            <w:r>
              <w:t xml:space="preserve">48,4 кв.м.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9" w:type="dxa"/>
            <w:vAlign w:val="top"/>
            <w:textDirection w:val="lrTb"/>
            <w:noWrap w:val="false"/>
          </w:tcPr>
          <w:p>
            <w:pPr>
              <w:pStyle w:val="812"/>
            </w:pPr>
            <w:r>
              <w:t xml:space="preserve">подготовительная группа </w:t>
            </w:r>
            <w:r/>
          </w:p>
          <w:p>
            <w:r>
              <w:t xml:space="preserve">№ 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2" w:type="dxa"/>
            <w:vAlign w:val="top"/>
            <w:textDirection w:val="lrTb"/>
            <w:noWrap w:val="false"/>
          </w:tcPr>
          <w:p>
            <w:pPr>
              <w:pStyle w:val="812"/>
            </w:pPr>
            <w:r>
              <w:t xml:space="preserve">общеразвивающая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12"/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top"/>
            <w:textDirection w:val="lrTb"/>
            <w:noWrap w:val="false"/>
          </w:tcPr>
          <w:p>
            <w:pPr>
              <w:pStyle w:val="812"/>
              <w:jc w:val="center"/>
            </w:pPr>
            <w:r>
              <w:t xml:space="preserve">с 7.00 до 19.00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Align w:val="top"/>
            <w:textDirection w:val="lrTb"/>
            <w:noWrap w:val="false"/>
          </w:tcPr>
          <w:p>
            <w:pPr>
              <w:pStyle w:val="812"/>
              <w:jc w:val="center"/>
            </w:pPr>
            <w: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12"/>
              <w:jc w:val="center"/>
            </w:pPr>
            <w:r>
              <w:t xml:space="preserve">46,7 кв.м.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32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9" w:type="dxa"/>
            <w:vAlign w:val="top"/>
            <w:textDirection w:val="lrTb"/>
            <w:noWrap w:val="false"/>
          </w:tcPr>
          <w:p>
            <w:pPr>
              <w:pStyle w:val="812"/>
            </w:pPr>
            <w:r>
              <w:t xml:space="preserve">подготовительная группа </w:t>
            </w:r>
            <w:r/>
          </w:p>
          <w:p>
            <w:r>
              <w:t xml:space="preserve">№ 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2" w:type="dxa"/>
            <w:vAlign w:val="top"/>
            <w:textDirection w:val="lrTb"/>
            <w:noWrap w:val="false"/>
          </w:tcPr>
          <w:p>
            <w:pPr>
              <w:pStyle w:val="812"/>
            </w:pPr>
            <w:r>
              <w:t xml:space="preserve">общеразвивающая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12"/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top"/>
            <w:textDirection w:val="lrTb"/>
            <w:noWrap w:val="false"/>
          </w:tcPr>
          <w:p>
            <w:pPr>
              <w:pStyle w:val="812"/>
              <w:jc w:val="center"/>
            </w:pPr>
            <w:r>
              <w:t xml:space="preserve">с 7.00 до 19.00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Align w:val="top"/>
            <w:textDirection w:val="lrTb"/>
            <w:noWrap w:val="false"/>
          </w:tcPr>
          <w:p>
            <w:pPr>
              <w:pStyle w:val="812"/>
              <w:jc w:val="center"/>
            </w:pPr>
            <w: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12"/>
              <w:jc w:val="center"/>
            </w:pPr>
            <w:r>
              <w:t xml:space="preserve">48,5 кв.м.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31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9" w:type="dxa"/>
            <w:vAlign w:val="top"/>
            <w:vMerge w:val="restart"/>
            <w:textDirection w:val="lrTb"/>
            <w:noWrap w:val="false"/>
          </w:tcPr>
          <w:p>
            <w:pPr>
              <w:pStyle w:val="812"/>
            </w:pPr>
            <w:r>
              <w:t xml:space="preserve">подготовительная группа с ЗПР №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2" w:type="dxa"/>
            <w:vAlign w:val="top"/>
            <w:vMerge w:val="restart"/>
            <w:textDirection w:val="lrTb"/>
            <w:noWrap w:val="false"/>
          </w:tcPr>
          <w:p>
            <w:pPr>
              <w:pStyle w:val="812"/>
            </w:pPr>
            <w:r>
              <w:t xml:space="preserve">компенсирующая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vMerge w:val="restart"/>
            <w:textDirection w:val="lrTb"/>
            <w:noWrap w:val="false"/>
          </w:tcPr>
          <w:p>
            <w:pPr>
              <w:pStyle w:val="812"/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top"/>
            <w:vMerge w:val="restart"/>
            <w:textDirection w:val="lrTb"/>
            <w:noWrap w:val="false"/>
          </w:tcPr>
          <w:p>
            <w:pPr>
              <w:pStyle w:val="812"/>
              <w:jc w:val="center"/>
            </w:pPr>
            <w:r>
              <w:t xml:space="preserve">с 8.00 до 18.00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Align w:val="top"/>
            <w:vMerge w:val="restart"/>
            <w:textDirection w:val="lrTb"/>
            <w:noWrap w:val="false"/>
          </w:tcPr>
          <w:p>
            <w:pPr>
              <w:pStyle w:val="812"/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12"/>
              <w:jc w:val="center"/>
            </w:pPr>
            <w:r>
              <w:t xml:space="preserve">48 кв.м.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9" w:type="dxa"/>
            <w:vAlign w:val="top"/>
            <w:textDirection w:val="lrTb"/>
            <w:noWrap w:val="false"/>
          </w:tcPr>
          <w:p>
            <w:pPr>
              <w:pStyle w:val="812"/>
            </w:pPr>
            <w:r>
              <w:t xml:space="preserve">старшая группа </w:t>
            </w:r>
            <w:r/>
          </w:p>
          <w:p>
            <w:r>
              <w:t xml:space="preserve">с ЗПР №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2" w:type="dxa"/>
            <w:vAlign w:val="top"/>
            <w:textDirection w:val="lrTb"/>
            <w:noWrap w:val="false"/>
          </w:tcPr>
          <w:p>
            <w:pPr>
              <w:pStyle w:val="812"/>
            </w:pPr>
            <w:r>
              <w:t xml:space="preserve">компенсирующая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12"/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top"/>
            <w:textDirection w:val="lrTb"/>
            <w:noWrap w:val="false"/>
          </w:tcPr>
          <w:p>
            <w:pPr>
              <w:pStyle w:val="812"/>
              <w:jc w:val="center"/>
            </w:pPr>
            <w:r>
              <w:t xml:space="preserve">с 8.00 до 18.00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Align w:val="top"/>
            <w:textDirection w:val="lrTb"/>
            <w:noWrap w:val="false"/>
          </w:tcPr>
          <w:p>
            <w:pPr>
              <w:pStyle w:val="812"/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12"/>
              <w:jc w:val="center"/>
            </w:pPr>
            <w:r>
              <w:t xml:space="preserve">45,5 кв.м.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 1</w:t>
            </w:r>
            <w:r>
              <w:rPr>
                <w:lang w:val="en-US"/>
              </w:rPr>
              <w:t xml:space="preserve">4</w:t>
            </w:r>
            <w:r>
              <w:t xml:space="preserve"> 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9" w:type="dxa"/>
            <w:vAlign w:val="top"/>
            <w:textDirection w:val="lrTb"/>
            <w:noWrap w:val="false"/>
          </w:tcPr>
          <w:p>
            <w:pPr>
              <w:pStyle w:val="812"/>
            </w:pPr>
            <w:r>
              <w:t xml:space="preserve">средняя группа </w:t>
            </w:r>
            <w:r/>
          </w:p>
          <w:p>
            <w:r>
              <w:t xml:space="preserve">с ЗПР №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2" w:type="dxa"/>
            <w:vAlign w:val="top"/>
            <w:textDirection w:val="lrTb"/>
            <w:noWrap w:val="false"/>
          </w:tcPr>
          <w:p>
            <w:pPr>
              <w:pStyle w:val="812"/>
            </w:pPr>
            <w:r>
              <w:t xml:space="preserve">компенсирующая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12"/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top"/>
            <w:textDirection w:val="lrTb"/>
            <w:noWrap w:val="false"/>
          </w:tcPr>
          <w:p>
            <w:pPr>
              <w:pStyle w:val="812"/>
              <w:jc w:val="center"/>
            </w:pPr>
            <w:r>
              <w:t xml:space="preserve">с 8.00 до 18.00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Align w:val="top"/>
            <w:textDirection w:val="lrTb"/>
            <w:noWrap w:val="false"/>
          </w:tcPr>
          <w:p>
            <w:pPr>
              <w:pStyle w:val="812"/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12"/>
              <w:jc w:val="center"/>
            </w:pPr>
            <w:r>
              <w:t xml:space="preserve">48 кв.м.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rPr>
                <w:lang w:val="en-US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9" w:type="dxa"/>
            <w:vAlign w:val="top"/>
            <w:textDirection w:val="lrTb"/>
            <w:noWrap w:val="false"/>
          </w:tcPr>
          <w:p>
            <w:pPr>
              <w:pStyle w:val="812"/>
            </w:pPr>
            <w:r>
              <w:t xml:space="preserve">ИТОГО: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2" w:type="dxa"/>
            <w:vAlign w:val="top"/>
            <w:textDirection w:val="lrTb"/>
            <w:noWrap w:val="false"/>
          </w:tcPr>
          <w:p>
            <w:pPr>
              <w:pStyle w:val="812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12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top"/>
            <w:textDirection w:val="lrTb"/>
            <w:noWrap w:val="false"/>
          </w:tcPr>
          <w:p>
            <w:pPr>
              <w:pStyle w:val="812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Align w:val="top"/>
            <w:textDirection w:val="lrTb"/>
            <w:noWrap w:val="false"/>
          </w:tcPr>
          <w:p>
            <w:pPr>
              <w:pStyle w:val="812"/>
              <w:jc w:val="center"/>
            </w:pPr>
            <w:r>
              <w:t xml:space="preserve">247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12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28</w:t>
            </w:r>
            <w:r>
              <w:rPr>
                <w:lang w:val="en-US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79</w:t>
            </w:r>
            <w:r/>
          </w:p>
        </w:tc>
      </w:tr>
    </w:tbl>
    <w:p>
      <w:pPr>
        <w:pStyle w:val="812"/>
      </w:pPr>
      <w:r>
        <w:rPr>
          <w:sz w:val="28"/>
          <w:szCs w:val="28"/>
        </w:rPr>
      </w:r>
      <w:r/>
    </w:p>
    <w:p>
      <w:pPr>
        <w:pStyle w:val="812"/>
      </w:pPr>
      <w:r>
        <w:rPr>
          <w:sz w:val="28"/>
          <w:szCs w:val="28"/>
        </w:rPr>
      </w:r>
      <w:r/>
    </w:p>
    <w:p>
      <w:pPr>
        <w:pStyle w:val="812"/>
        <w:ind w:left="0" w:right="0" w:firstLine="1134"/>
      </w:pPr>
      <w:r>
        <w:rPr>
          <w:sz w:val="28"/>
          <w:szCs w:val="28"/>
        </w:rPr>
        <w:t xml:space="preserve">Заведующего ___________________ Ткачева Т.Н.</w:t>
      </w:r>
      <w:r/>
    </w:p>
    <w:p>
      <w:pPr>
        <w:pStyle w:val="812"/>
        <w:ind w:left="0" w:right="0" w:firstLine="1134"/>
      </w:pPr>
      <w:r>
        <w:rPr>
          <w:sz w:val="28"/>
          <w:szCs w:val="28"/>
        </w:rPr>
      </w:r>
      <w:r/>
    </w:p>
    <w:p>
      <w:pPr>
        <w:pStyle w:val="812"/>
        <w:ind w:left="0" w:right="0" w:firstLine="1134"/>
      </w:pPr>
      <w:r>
        <w:rPr>
          <w:sz w:val="28"/>
          <w:szCs w:val="28"/>
        </w:rPr>
        <w:t xml:space="preserve">02.09.2024г.</w:t>
      </w:r>
      <w:r/>
    </w:p>
    <w:p>
      <w:pPr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sectPr>
      <w:footnotePr/>
      <w:endnotePr/>
      <w:type w:val="nextPage"/>
      <w:pgSz w:w="16838" w:h="11906" w:orient="landscape"/>
      <w:pgMar w:top="567" w:right="567" w:bottom="567" w:left="567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Microsoft YaHei">
    <w:panose1 w:val="020B0503020204020204"/>
  </w:font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next w:val="812"/>
    <w:link w:val="812"/>
    <w:qFormat/>
    <w:rPr>
      <w:sz w:val="24"/>
      <w:szCs w:val="24"/>
      <w:lang w:val="ru-RU" w:eastAsia="zh-CN" w:bidi="ar-SA"/>
    </w:rPr>
  </w:style>
  <w:style w:type="character" w:styleId="813">
    <w:name w:val="Основной шрифт абзаца"/>
    <w:next w:val="813"/>
    <w:link w:val="812"/>
    <w:uiPriority w:val="1"/>
    <w:semiHidden/>
    <w:unhideWhenUsed/>
  </w:style>
  <w:style w:type="table" w:styleId="814">
    <w:name w:val="Обычная таблица"/>
    <w:next w:val="814"/>
    <w:link w:val="812"/>
    <w:uiPriority w:val="99"/>
    <w:semiHidden/>
    <w:unhideWhenUsed/>
    <w:tblPr/>
  </w:style>
  <w:style w:type="numbering" w:styleId="815">
    <w:name w:val="Нет списка"/>
    <w:next w:val="815"/>
    <w:link w:val="812"/>
    <w:uiPriority w:val="99"/>
    <w:semiHidden/>
    <w:unhideWhenUsed/>
  </w:style>
  <w:style w:type="character" w:styleId="816">
    <w:name w:val="Основной шрифт абзаца1"/>
    <w:next w:val="816"/>
    <w:link w:val="812"/>
  </w:style>
  <w:style w:type="paragraph" w:styleId="817">
    <w:name w:val="Заголовок"/>
    <w:basedOn w:val="812"/>
    <w:next w:val="818"/>
    <w:link w:val="812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18">
    <w:name w:val="Основной текст"/>
    <w:basedOn w:val="812"/>
    <w:next w:val="818"/>
    <w:link w:val="812"/>
    <w:pPr>
      <w:spacing w:before="0" w:after="140" w:line="288" w:lineRule="auto"/>
    </w:pPr>
  </w:style>
  <w:style w:type="paragraph" w:styleId="819">
    <w:name w:val="Список"/>
    <w:basedOn w:val="818"/>
    <w:next w:val="819"/>
    <w:link w:val="812"/>
    <w:rPr>
      <w:rFonts w:cs="Arial"/>
    </w:rPr>
  </w:style>
  <w:style w:type="paragraph" w:styleId="820">
    <w:name w:val="Название объекта"/>
    <w:basedOn w:val="812"/>
    <w:next w:val="820"/>
    <w:link w:val="812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21">
    <w:name w:val="Указатель1"/>
    <w:basedOn w:val="812"/>
    <w:next w:val="821"/>
    <w:link w:val="812"/>
    <w:pPr>
      <w:suppressLineNumbers/>
    </w:pPr>
    <w:rPr>
      <w:rFonts w:cs="Arial"/>
    </w:rPr>
  </w:style>
  <w:style w:type="paragraph" w:styleId="822">
    <w:name w:val="Текст выноски"/>
    <w:basedOn w:val="812"/>
    <w:next w:val="822"/>
    <w:link w:val="812"/>
    <w:rPr>
      <w:rFonts w:ascii="Tahoma" w:hAnsi="Tahoma" w:cs="Tahoma"/>
      <w:sz w:val="16"/>
      <w:szCs w:val="16"/>
    </w:rPr>
  </w:style>
  <w:style w:type="paragraph" w:styleId="823">
    <w:name w:val="Схема документа1"/>
    <w:basedOn w:val="812"/>
    <w:next w:val="823"/>
    <w:link w:val="81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824">
    <w:name w:val="Содержимое таблицы"/>
    <w:basedOn w:val="812"/>
    <w:next w:val="824"/>
    <w:link w:val="812"/>
    <w:pPr>
      <w:suppressLineNumbers/>
    </w:pPr>
  </w:style>
  <w:style w:type="paragraph" w:styleId="825">
    <w:name w:val="Заголовок таблицы"/>
    <w:basedOn w:val="824"/>
    <w:next w:val="825"/>
    <w:link w:val="812"/>
    <w:pPr>
      <w:jc w:val="center"/>
      <w:suppressLineNumbers/>
    </w:pPr>
    <w:rPr>
      <w:b/>
      <w:bCs/>
    </w:rPr>
  </w:style>
  <w:style w:type="character" w:styleId="826" w:default="1">
    <w:name w:val="Default Paragraph Font"/>
    <w:uiPriority w:val="1"/>
    <w:semiHidden/>
    <w:unhideWhenUsed/>
  </w:style>
  <w:style w:type="numbering" w:styleId="827" w:default="1">
    <w:name w:val="No List"/>
    <w:uiPriority w:val="99"/>
    <w:semiHidden/>
    <w:unhideWhenUsed/>
  </w:style>
  <w:style w:type="table" w:styleId="82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kirpota</dc:creator>
  <cp:revision>9</cp:revision>
  <dcterms:created xsi:type="dcterms:W3CDTF">2021-04-05T06:25:00Z</dcterms:created>
  <dcterms:modified xsi:type="dcterms:W3CDTF">2025-02-06T08:53:19Z</dcterms:modified>
  <cp:version>786432</cp:version>
</cp:coreProperties>
</file>